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064D7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CLX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Annual General Mandate 2020</w:t>
      </w:r>
      <w:r w:rsidR="00013530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235C2">
        <w:rPr>
          <w:rFonts w:ascii="Arial" w:hAnsi="Arial" w:cs="Arial"/>
          <w:sz w:val="20"/>
          <w:szCs w:val="20"/>
        </w:rPr>
        <w:t>0</w:t>
      </w:r>
      <w:r w:rsidR="00064D79">
        <w:rPr>
          <w:rFonts w:ascii="Arial" w:hAnsi="Arial" w:cs="Arial"/>
          <w:sz w:val="20"/>
          <w:szCs w:val="20"/>
        </w:rPr>
        <w:t>4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F11789" w:rsidRPr="00F11789">
        <w:rPr>
          <w:rFonts w:ascii="Arial" w:hAnsi="Arial" w:cs="Arial"/>
          <w:sz w:val="20"/>
          <w:szCs w:val="20"/>
        </w:rPr>
        <w:t>Cho Lon Investment and Import Export Corporation</w:t>
      </w:r>
      <w:r w:rsidR="00F1178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F11789">
        <w:rPr>
          <w:rFonts w:ascii="Arial" w:hAnsi="Arial" w:cs="Arial"/>
          <w:sz w:val="20"/>
          <w:szCs w:val="20"/>
        </w:rPr>
        <w:t>annual General Mandate 2020</w:t>
      </w:r>
      <w:r w:rsidR="00013530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11789" w:rsidRDefault="00F1178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the operation results of 2019 as follows:</w:t>
      </w:r>
    </w:p>
    <w:p w:rsidR="00F11789" w:rsidRDefault="00F1178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billion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3360"/>
        <w:gridCol w:w="1914"/>
        <w:gridCol w:w="1914"/>
        <w:gridCol w:w="1915"/>
      </w:tblGrid>
      <w:tr w:rsidR="00F11789" w:rsidTr="00220448">
        <w:tc>
          <w:tcPr>
            <w:tcW w:w="473" w:type="dxa"/>
          </w:tcPr>
          <w:p w:rsidR="00F11789" w:rsidRDefault="00AA03F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60" w:type="dxa"/>
          </w:tcPr>
          <w:p w:rsidR="00F11789" w:rsidRDefault="00AA03F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914" w:type="dxa"/>
          </w:tcPr>
          <w:p w:rsidR="00F11789" w:rsidRDefault="00AA03F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2019</w:t>
            </w:r>
          </w:p>
        </w:tc>
        <w:tc>
          <w:tcPr>
            <w:tcW w:w="1914" w:type="dxa"/>
          </w:tcPr>
          <w:p w:rsidR="00F11789" w:rsidRDefault="00AA03F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915" w:type="dxa"/>
          </w:tcPr>
          <w:p w:rsidR="00F11789" w:rsidRDefault="00AA03F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Realization/ Plan</w:t>
            </w:r>
          </w:p>
        </w:tc>
      </w:tr>
      <w:tr w:rsidR="00F11789" w:rsidTr="00220448">
        <w:tc>
          <w:tcPr>
            <w:tcW w:w="473" w:type="dxa"/>
          </w:tcPr>
          <w:p w:rsidR="00F11789" w:rsidRDefault="00AA03F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0" w:type="dxa"/>
          </w:tcPr>
          <w:p w:rsidR="00F11789" w:rsidRDefault="00AA03F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Consolidated revenue</w:t>
            </w:r>
          </w:p>
        </w:tc>
        <w:tc>
          <w:tcPr>
            <w:tcW w:w="1914" w:type="dxa"/>
          </w:tcPr>
          <w:p w:rsidR="00F11789" w:rsidRDefault="00AA03F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512.00</w:t>
            </w:r>
          </w:p>
        </w:tc>
        <w:tc>
          <w:tcPr>
            <w:tcW w:w="1914" w:type="dxa"/>
          </w:tcPr>
          <w:p w:rsidR="00F11789" w:rsidRDefault="00AA03F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533.94</w:t>
            </w:r>
          </w:p>
        </w:tc>
        <w:tc>
          <w:tcPr>
            <w:tcW w:w="1915" w:type="dxa"/>
          </w:tcPr>
          <w:p w:rsidR="00F11789" w:rsidRDefault="00AA03F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104.29%</w:t>
            </w:r>
          </w:p>
        </w:tc>
      </w:tr>
      <w:tr w:rsidR="00F11789" w:rsidTr="00220448">
        <w:tc>
          <w:tcPr>
            <w:tcW w:w="473" w:type="dxa"/>
          </w:tcPr>
          <w:p w:rsidR="00F11789" w:rsidRDefault="00AA03F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0" w:type="dxa"/>
          </w:tcPr>
          <w:p w:rsidR="00F11789" w:rsidRDefault="00AA03F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914" w:type="dxa"/>
          </w:tcPr>
          <w:p w:rsidR="00F11789" w:rsidRDefault="00AA03F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105.00</w:t>
            </w:r>
          </w:p>
        </w:tc>
        <w:tc>
          <w:tcPr>
            <w:tcW w:w="1914" w:type="dxa"/>
          </w:tcPr>
          <w:p w:rsidR="00F11789" w:rsidRDefault="00AA03F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145.86</w:t>
            </w:r>
          </w:p>
        </w:tc>
        <w:tc>
          <w:tcPr>
            <w:tcW w:w="1915" w:type="dxa"/>
          </w:tcPr>
          <w:p w:rsidR="00F11789" w:rsidRDefault="00AA03F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138.91%</w:t>
            </w:r>
          </w:p>
        </w:tc>
      </w:tr>
      <w:tr w:rsidR="00F11789" w:rsidTr="00220448">
        <w:tc>
          <w:tcPr>
            <w:tcW w:w="473" w:type="dxa"/>
          </w:tcPr>
          <w:p w:rsidR="00F11789" w:rsidRDefault="00AA03F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0" w:type="dxa"/>
          </w:tcPr>
          <w:p w:rsidR="00F11789" w:rsidRDefault="00AA03F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1914" w:type="dxa"/>
          </w:tcPr>
          <w:p w:rsidR="00F11789" w:rsidRDefault="00AA03F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91.00</w:t>
            </w:r>
          </w:p>
        </w:tc>
        <w:tc>
          <w:tcPr>
            <w:tcW w:w="1914" w:type="dxa"/>
          </w:tcPr>
          <w:p w:rsidR="00F11789" w:rsidRDefault="00AA03F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129.06</w:t>
            </w:r>
          </w:p>
        </w:tc>
        <w:tc>
          <w:tcPr>
            <w:tcW w:w="1915" w:type="dxa"/>
          </w:tcPr>
          <w:p w:rsidR="00F11789" w:rsidRDefault="00AA03F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141.82%</w:t>
            </w:r>
          </w:p>
        </w:tc>
      </w:tr>
      <w:tr w:rsidR="00F11789" w:rsidTr="00220448">
        <w:tc>
          <w:tcPr>
            <w:tcW w:w="473" w:type="dxa"/>
          </w:tcPr>
          <w:p w:rsidR="00F11789" w:rsidRDefault="00AA03F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60" w:type="dxa"/>
          </w:tcPr>
          <w:p w:rsidR="00F11789" w:rsidRDefault="00AA03F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Distributed profit</w:t>
            </w:r>
          </w:p>
        </w:tc>
        <w:tc>
          <w:tcPr>
            <w:tcW w:w="1914" w:type="dxa"/>
          </w:tcPr>
          <w:p w:rsidR="00F11789" w:rsidRDefault="00AA03F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64.00</w:t>
            </w:r>
          </w:p>
        </w:tc>
        <w:tc>
          <w:tcPr>
            <w:tcW w:w="1914" w:type="dxa"/>
          </w:tcPr>
          <w:p w:rsidR="00F11789" w:rsidRDefault="00AA03F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84.21</w:t>
            </w:r>
          </w:p>
        </w:tc>
        <w:tc>
          <w:tcPr>
            <w:tcW w:w="1915" w:type="dxa"/>
          </w:tcPr>
          <w:p w:rsidR="00F11789" w:rsidRDefault="00AA03F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131.58%</w:t>
            </w:r>
          </w:p>
        </w:tc>
      </w:tr>
      <w:tr w:rsidR="00220448" w:rsidTr="00220448">
        <w:tc>
          <w:tcPr>
            <w:tcW w:w="473" w:type="dxa"/>
          </w:tcPr>
          <w:p w:rsidR="00220448" w:rsidRDefault="0022044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0" w:type="dxa"/>
          </w:tcPr>
          <w:p w:rsidR="00220448" w:rsidRDefault="0022044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Dividend payment </w:t>
            </w:r>
          </w:p>
        </w:tc>
        <w:tc>
          <w:tcPr>
            <w:tcW w:w="1914" w:type="dxa"/>
          </w:tcPr>
          <w:p w:rsidR="00220448" w:rsidRDefault="0022044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minimum of 3% of par value</w:t>
            </w:r>
          </w:p>
        </w:tc>
        <w:tc>
          <w:tcPr>
            <w:tcW w:w="3829" w:type="dxa"/>
            <w:gridSpan w:val="2"/>
          </w:tcPr>
          <w:p w:rsidR="00220448" w:rsidRDefault="0022044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3.5% of par value (advance of 1.5% of par value on 30 Dec 2019)</w:t>
            </w:r>
          </w:p>
        </w:tc>
      </w:tr>
    </w:tbl>
    <w:p w:rsidR="00F11789" w:rsidRDefault="00F1178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0448" w:rsidRDefault="0022044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Approve the consolidated financial statement of 2019 audited by A&amp;C Auditing and Consulting Co., Ltd </w:t>
      </w:r>
    </w:p>
    <w:p w:rsidR="00220448" w:rsidRDefault="0022044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Approve the report on profit distribution and extraction to funds of 2019</w:t>
      </w:r>
    </w:p>
    <w:p w:rsidR="00220448" w:rsidRDefault="0022044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billion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2394"/>
        <w:gridCol w:w="2394"/>
      </w:tblGrid>
      <w:tr w:rsidR="00E94849" w:rsidTr="00E94849">
        <w:tc>
          <w:tcPr>
            <w:tcW w:w="648" w:type="dxa"/>
          </w:tcPr>
          <w:p w:rsidR="00E94849" w:rsidRDefault="00E948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140" w:type="dxa"/>
          </w:tcPr>
          <w:p w:rsidR="00E94849" w:rsidRDefault="00E948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2394" w:type="dxa"/>
          </w:tcPr>
          <w:p w:rsidR="00E94849" w:rsidRDefault="00E948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ratio</w:t>
            </w:r>
          </w:p>
        </w:tc>
        <w:tc>
          <w:tcPr>
            <w:tcW w:w="2394" w:type="dxa"/>
          </w:tcPr>
          <w:p w:rsidR="00E94849" w:rsidRDefault="00E948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E94849" w:rsidTr="00E94849">
        <w:tc>
          <w:tcPr>
            <w:tcW w:w="648" w:type="dxa"/>
          </w:tcPr>
          <w:p w:rsidR="00E94849" w:rsidRDefault="00E948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E94849" w:rsidRDefault="00E948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Distributed profit</w:t>
            </w:r>
          </w:p>
        </w:tc>
        <w:tc>
          <w:tcPr>
            <w:tcW w:w="2394" w:type="dxa"/>
          </w:tcPr>
          <w:p w:rsidR="00E94849" w:rsidRDefault="00E948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94" w:type="dxa"/>
          </w:tcPr>
          <w:p w:rsidR="00E94849" w:rsidRDefault="00E948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84.208</w:t>
            </w:r>
          </w:p>
        </w:tc>
      </w:tr>
      <w:tr w:rsidR="00E94849" w:rsidTr="00E94849">
        <w:tc>
          <w:tcPr>
            <w:tcW w:w="648" w:type="dxa"/>
          </w:tcPr>
          <w:p w:rsidR="00E94849" w:rsidRDefault="00E948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E94849" w:rsidRDefault="00E948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Operation fund of the Board of Directors and Supervisory Board </w:t>
            </w:r>
          </w:p>
        </w:tc>
        <w:tc>
          <w:tcPr>
            <w:tcW w:w="2394" w:type="dxa"/>
          </w:tcPr>
          <w:p w:rsidR="00E94849" w:rsidRDefault="00E948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1.9%</w:t>
            </w:r>
          </w:p>
        </w:tc>
        <w:tc>
          <w:tcPr>
            <w:tcW w:w="2394" w:type="dxa"/>
          </w:tcPr>
          <w:p w:rsidR="00E94849" w:rsidRDefault="00E948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1.613</w:t>
            </w:r>
          </w:p>
        </w:tc>
      </w:tr>
      <w:tr w:rsidR="00E94849" w:rsidTr="00E94849">
        <w:tc>
          <w:tcPr>
            <w:tcW w:w="648" w:type="dxa"/>
          </w:tcPr>
          <w:p w:rsidR="00E94849" w:rsidRDefault="00E948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E94849" w:rsidRDefault="005B219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Reward fund for employees</w:t>
            </w:r>
          </w:p>
        </w:tc>
        <w:tc>
          <w:tcPr>
            <w:tcW w:w="2394" w:type="dxa"/>
          </w:tcPr>
          <w:p w:rsidR="00E94849" w:rsidRDefault="005B219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3%</w:t>
            </w:r>
          </w:p>
        </w:tc>
        <w:tc>
          <w:tcPr>
            <w:tcW w:w="2394" w:type="dxa"/>
          </w:tcPr>
          <w:p w:rsidR="00E94849" w:rsidRDefault="005B219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2.526</w:t>
            </w:r>
          </w:p>
        </w:tc>
      </w:tr>
      <w:tr w:rsidR="00E94849" w:rsidTr="00E94849">
        <w:tc>
          <w:tcPr>
            <w:tcW w:w="648" w:type="dxa"/>
          </w:tcPr>
          <w:p w:rsidR="00E94849" w:rsidRDefault="00E948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E94849" w:rsidRDefault="005B219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Welfare fund for employees</w:t>
            </w:r>
          </w:p>
        </w:tc>
        <w:tc>
          <w:tcPr>
            <w:tcW w:w="2394" w:type="dxa"/>
          </w:tcPr>
          <w:p w:rsidR="00E94849" w:rsidRDefault="005B219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3%</w:t>
            </w:r>
          </w:p>
        </w:tc>
        <w:tc>
          <w:tcPr>
            <w:tcW w:w="2394" w:type="dxa"/>
          </w:tcPr>
          <w:p w:rsidR="00E94849" w:rsidRDefault="005B219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2.526</w:t>
            </w:r>
          </w:p>
        </w:tc>
      </w:tr>
      <w:tr w:rsidR="00E94849" w:rsidTr="00E94849">
        <w:tc>
          <w:tcPr>
            <w:tcW w:w="648" w:type="dxa"/>
          </w:tcPr>
          <w:p w:rsidR="00E94849" w:rsidRDefault="00E9484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E94849" w:rsidRDefault="005B219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welfare fund</w:t>
            </w:r>
          </w:p>
        </w:tc>
        <w:tc>
          <w:tcPr>
            <w:tcW w:w="2394" w:type="dxa"/>
          </w:tcPr>
          <w:p w:rsidR="00E94849" w:rsidRDefault="005B219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0.7%</w:t>
            </w:r>
          </w:p>
        </w:tc>
        <w:tc>
          <w:tcPr>
            <w:tcW w:w="2394" w:type="dxa"/>
          </w:tcPr>
          <w:p w:rsidR="00E94849" w:rsidRDefault="005B219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0.589</w:t>
            </w:r>
          </w:p>
        </w:tc>
      </w:tr>
      <w:tr w:rsidR="00E94849" w:rsidTr="00E94849">
        <w:tc>
          <w:tcPr>
            <w:tcW w:w="648" w:type="dxa"/>
          </w:tcPr>
          <w:p w:rsidR="00E94849" w:rsidRDefault="005B219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E94849" w:rsidRDefault="005B219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Bonus for exceeding the plan (15% of profit exceeding the plan but not over 200% of 2018 bonus exceeding the plan </w:t>
            </w:r>
          </w:p>
        </w:tc>
        <w:tc>
          <w:tcPr>
            <w:tcW w:w="2394" w:type="dxa"/>
          </w:tcPr>
          <w:p w:rsidR="00E94849" w:rsidRDefault="005B219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3.6%</w:t>
            </w:r>
          </w:p>
        </w:tc>
        <w:tc>
          <w:tcPr>
            <w:tcW w:w="2394" w:type="dxa"/>
          </w:tcPr>
          <w:p w:rsidR="00E94849" w:rsidRDefault="005B219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3.031</w:t>
            </w:r>
          </w:p>
        </w:tc>
      </w:tr>
      <w:tr w:rsidR="00E94849" w:rsidTr="00E94849">
        <w:tc>
          <w:tcPr>
            <w:tcW w:w="648" w:type="dxa"/>
          </w:tcPr>
          <w:p w:rsidR="00E94849" w:rsidRDefault="005B219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E94849" w:rsidRDefault="005B219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(3.5% of par value)</w:t>
            </w:r>
          </w:p>
        </w:tc>
        <w:tc>
          <w:tcPr>
            <w:tcW w:w="2394" w:type="dxa"/>
          </w:tcPr>
          <w:p w:rsidR="00E94849" w:rsidRDefault="005B219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2394" w:type="dxa"/>
          </w:tcPr>
          <w:p w:rsidR="00E94849" w:rsidRDefault="005B219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30.310</w:t>
            </w:r>
          </w:p>
        </w:tc>
      </w:tr>
      <w:tr w:rsidR="00E94849" w:rsidTr="00E94849">
        <w:tc>
          <w:tcPr>
            <w:tcW w:w="648" w:type="dxa"/>
          </w:tcPr>
          <w:p w:rsidR="00E94849" w:rsidRDefault="005B219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E94849" w:rsidRDefault="005B219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Retained profit </w:t>
            </w:r>
            <w:r w:rsidR="00F35A26">
              <w:rPr>
                <w:rFonts w:ascii="Arial" w:hAnsi="Arial" w:cs="Arial"/>
                <w:sz w:val="20"/>
                <w:szCs w:val="20"/>
              </w:rPr>
              <w:t>for supplementing the business capital</w:t>
            </w:r>
          </w:p>
        </w:tc>
        <w:tc>
          <w:tcPr>
            <w:tcW w:w="2394" w:type="dxa"/>
          </w:tcPr>
          <w:p w:rsidR="00E94849" w:rsidRDefault="00F35A2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51.8%</w:t>
            </w:r>
          </w:p>
        </w:tc>
        <w:tc>
          <w:tcPr>
            <w:tcW w:w="2394" w:type="dxa"/>
          </w:tcPr>
          <w:p w:rsidR="00E94849" w:rsidRDefault="00F35A2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43.613</w:t>
            </w:r>
          </w:p>
        </w:tc>
      </w:tr>
    </w:tbl>
    <w:p w:rsidR="00220448" w:rsidRDefault="0022044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4B61" w:rsidRDefault="00D50BB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4. A</w:t>
      </w:r>
      <w:r w:rsidRPr="00D50BB9">
        <w:rPr>
          <w:rFonts w:ascii="Arial" w:hAnsi="Arial" w:cs="Arial"/>
          <w:sz w:val="20"/>
          <w:szCs w:val="20"/>
        </w:rPr>
        <w:t>pprove the 201</w:t>
      </w:r>
      <w:r>
        <w:rPr>
          <w:rFonts w:ascii="Arial" w:hAnsi="Arial" w:cs="Arial"/>
          <w:sz w:val="20"/>
          <w:szCs w:val="20"/>
        </w:rPr>
        <w:t>9</w:t>
      </w:r>
      <w:r w:rsidRPr="00D50BB9">
        <w:rPr>
          <w:rFonts w:ascii="Arial" w:hAnsi="Arial" w:cs="Arial"/>
          <w:sz w:val="20"/>
          <w:szCs w:val="20"/>
        </w:rPr>
        <w:t xml:space="preserve"> operation</w:t>
      </w:r>
      <w:r w:rsidR="00EF4B61">
        <w:rPr>
          <w:rFonts w:ascii="Arial" w:hAnsi="Arial" w:cs="Arial"/>
          <w:sz w:val="20"/>
          <w:szCs w:val="20"/>
        </w:rPr>
        <w:t xml:space="preserve"> report and the 2020 operation</w:t>
      </w:r>
      <w:r w:rsidRPr="00D50BB9">
        <w:rPr>
          <w:rFonts w:ascii="Arial" w:hAnsi="Arial" w:cs="Arial"/>
          <w:sz w:val="20"/>
          <w:szCs w:val="20"/>
        </w:rPr>
        <w:t xml:space="preserve"> p</w:t>
      </w:r>
      <w:r w:rsidR="00EF4B61">
        <w:rPr>
          <w:rFonts w:ascii="Arial" w:hAnsi="Arial" w:cs="Arial"/>
          <w:sz w:val="20"/>
          <w:szCs w:val="20"/>
        </w:rPr>
        <w:t>lan of the Board of Directors; Corporate governance report of the public company in 2019</w:t>
      </w:r>
    </w:p>
    <w:p w:rsidR="00EF4B61" w:rsidRDefault="00D50BB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BB9">
        <w:rPr>
          <w:rFonts w:ascii="Arial" w:hAnsi="Arial" w:cs="Arial"/>
          <w:sz w:val="20"/>
          <w:szCs w:val="20"/>
        </w:rPr>
        <w:lastRenderedPageBreak/>
        <w:t>Article 5. Approve the</w:t>
      </w:r>
      <w:r w:rsidR="00EF4B61">
        <w:rPr>
          <w:rFonts w:ascii="Arial" w:hAnsi="Arial" w:cs="Arial"/>
          <w:sz w:val="20"/>
          <w:szCs w:val="20"/>
        </w:rPr>
        <w:t xml:space="preserve"> 2019</w:t>
      </w:r>
      <w:r w:rsidRPr="00D50BB9">
        <w:rPr>
          <w:rFonts w:ascii="Arial" w:hAnsi="Arial" w:cs="Arial"/>
          <w:sz w:val="20"/>
          <w:szCs w:val="20"/>
        </w:rPr>
        <w:t xml:space="preserve"> Operation Report of</w:t>
      </w:r>
      <w:r w:rsidR="00EF4B61">
        <w:rPr>
          <w:rFonts w:ascii="Arial" w:hAnsi="Arial" w:cs="Arial"/>
          <w:sz w:val="20"/>
          <w:szCs w:val="20"/>
        </w:rPr>
        <w:t xml:space="preserve"> the Supervisory Board </w:t>
      </w:r>
    </w:p>
    <w:p w:rsidR="00EF4B61" w:rsidRDefault="00D50BB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BB9">
        <w:rPr>
          <w:rFonts w:ascii="Arial" w:hAnsi="Arial" w:cs="Arial"/>
          <w:sz w:val="20"/>
          <w:szCs w:val="20"/>
        </w:rPr>
        <w:t xml:space="preserve">Article 6. Approving the selection of </w:t>
      </w:r>
      <w:r w:rsidR="00EF4B61">
        <w:rPr>
          <w:rFonts w:ascii="Arial" w:hAnsi="Arial" w:cs="Arial"/>
          <w:sz w:val="20"/>
          <w:szCs w:val="20"/>
        </w:rPr>
        <w:t>an auditing company for</w:t>
      </w:r>
      <w:r w:rsidRPr="00D50BB9">
        <w:rPr>
          <w:rFonts w:ascii="Arial" w:hAnsi="Arial" w:cs="Arial"/>
          <w:sz w:val="20"/>
          <w:szCs w:val="20"/>
        </w:rPr>
        <w:t xml:space="preserve"> 2020 as follows: </w:t>
      </w:r>
    </w:p>
    <w:p w:rsidR="00A734D4" w:rsidRDefault="00D50BB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BB9">
        <w:rPr>
          <w:rFonts w:ascii="Arial" w:hAnsi="Arial" w:cs="Arial"/>
          <w:sz w:val="20"/>
          <w:szCs w:val="20"/>
        </w:rPr>
        <w:t xml:space="preserve">1. The </w:t>
      </w:r>
      <w:r w:rsidR="00EF4B61">
        <w:rPr>
          <w:rFonts w:ascii="Arial" w:hAnsi="Arial" w:cs="Arial"/>
          <w:sz w:val="20"/>
          <w:szCs w:val="20"/>
        </w:rPr>
        <w:t>annual General Meeting of Shareholders</w:t>
      </w:r>
      <w:r w:rsidRPr="00D50BB9">
        <w:rPr>
          <w:rFonts w:ascii="Arial" w:hAnsi="Arial" w:cs="Arial"/>
          <w:sz w:val="20"/>
          <w:szCs w:val="20"/>
        </w:rPr>
        <w:t xml:space="preserve"> authorizes the Board of Directors to decide the selection of one of the auditing companies at the proposal of the </w:t>
      </w:r>
      <w:r w:rsidR="00A734D4">
        <w:rPr>
          <w:rFonts w:ascii="Arial" w:hAnsi="Arial" w:cs="Arial"/>
          <w:sz w:val="20"/>
          <w:szCs w:val="20"/>
        </w:rPr>
        <w:t>Supervisory Board</w:t>
      </w:r>
      <w:r w:rsidRPr="00D50BB9">
        <w:rPr>
          <w:rFonts w:ascii="Arial" w:hAnsi="Arial" w:cs="Arial"/>
          <w:sz w:val="20"/>
          <w:szCs w:val="20"/>
        </w:rPr>
        <w:t xml:space="preserve"> to audit the Company's financ</w:t>
      </w:r>
      <w:r w:rsidR="00A734D4">
        <w:rPr>
          <w:rFonts w:ascii="Arial" w:hAnsi="Arial" w:cs="Arial"/>
          <w:sz w:val="20"/>
          <w:szCs w:val="20"/>
        </w:rPr>
        <w:t>ial statement of</w:t>
      </w:r>
      <w:r w:rsidRPr="00D50BB9">
        <w:rPr>
          <w:rFonts w:ascii="Arial" w:hAnsi="Arial" w:cs="Arial"/>
          <w:sz w:val="20"/>
          <w:szCs w:val="20"/>
        </w:rPr>
        <w:t xml:space="preserve"> 2020 in accordance with the law and assign the General Director to sign an audit service contract wit</w:t>
      </w:r>
      <w:r w:rsidR="00A734D4">
        <w:rPr>
          <w:rFonts w:ascii="Arial" w:hAnsi="Arial" w:cs="Arial"/>
          <w:sz w:val="20"/>
          <w:szCs w:val="20"/>
        </w:rPr>
        <w:t>h the selected auditing company</w:t>
      </w:r>
    </w:p>
    <w:p w:rsidR="00EB271D" w:rsidRDefault="00D50BB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BB9">
        <w:rPr>
          <w:rFonts w:ascii="Arial" w:hAnsi="Arial" w:cs="Arial"/>
          <w:sz w:val="20"/>
          <w:szCs w:val="20"/>
        </w:rPr>
        <w:t xml:space="preserve">2. The selected auditing firm is an audit firm </w:t>
      </w:r>
      <w:r w:rsidR="009E16BD">
        <w:rPr>
          <w:rFonts w:ascii="Arial" w:hAnsi="Arial" w:cs="Arial"/>
          <w:sz w:val="20"/>
          <w:szCs w:val="20"/>
        </w:rPr>
        <w:t>operating legally in Vietnam in</w:t>
      </w:r>
      <w:r w:rsidRPr="00D50BB9">
        <w:rPr>
          <w:rFonts w:ascii="Arial" w:hAnsi="Arial" w:cs="Arial"/>
          <w:sz w:val="20"/>
          <w:szCs w:val="20"/>
        </w:rPr>
        <w:t xml:space="preserve"> the list of auditing firms eligible to provide audit servic</w:t>
      </w:r>
      <w:r w:rsidR="00EB271D">
        <w:rPr>
          <w:rFonts w:ascii="Arial" w:hAnsi="Arial" w:cs="Arial"/>
          <w:sz w:val="20"/>
          <w:szCs w:val="20"/>
        </w:rPr>
        <w:t xml:space="preserve">es of the Ministry of Finance; </w:t>
      </w:r>
      <w:r w:rsidRPr="00D50BB9">
        <w:rPr>
          <w:rFonts w:ascii="Arial" w:hAnsi="Arial" w:cs="Arial"/>
          <w:sz w:val="20"/>
          <w:szCs w:val="20"/>
        </w:rPr>
        <w:t xml:space="preserve">reputable for audit quality; with the audit fee suitable to the content, scope and progress of the audit at the request of the Company, specifically choosing one of the following 3 auditing units: </w:t>
      </w:r>
    </w:p>
    <w:p w:rsidR="00EB271D" w:rsidRDefault="00D50BB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BB9">
        <w:rPr>
          <w:rFonts w:ascii="Arial" w:hAnsi="Arial" w:cs="Arial"/>
          <w:sz w:val="20"/>
          <w:szCs w:val="20"/>
        </w:rPr>
        <w:t>- A&amp;C Au</w:t>
      </w:r>
      <w:r w:rsidR="00EB271D">
        <w:rPr>
          <w:rFonts w:ascii="Arial" w:hAnsi="Arial" w:cs="Arial"/>
          <w:sz w:val="20"/>
          <w:szCs w:val="20"/>
        </w:rPr>
        <w:t>diting and Consulting Co., Ltd</w:t>
      </w:r>
    </w:p>
    <w:p w:rsidR="00EB271D" w:rsidRDefault="00D50BB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BB9">
        <w:rPr>
          <w:rFonts w:ascii="Arial" w:hAnsi="Arial" w:cs="Arial"/>
          <w:sz w:val="20"/>
          <w:szCs w:val="20"/>
        </w:rPr>
        <w:t xml:space="preserve">- AFC Vietnam Auditing Co., Ltd  </w:t>
      </w:r>
    </w:p>
    <w:p w:rsidR="00EB271D" w:rsidRDefault="00EB271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Deloitte Vietnam</w:t>
      </w:r>
      <w:r w:rsidR="00D50BB9" w:rsidRPr="00D50B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Co., Ltd</w:t>
      </w:r>
    </w:p>
    <w:p w:rsidR="00EB271D" w:rsidRDefault="00D50BB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BB9">
        <w:rPr>
          <w:rFonts w:ascii="Arial" w:hAnsi="Arial" w:cs="Arial"/>
          <w:sz w:val="20"/>
          <w:szCs w:val="20"/>
        </w:rPr>
        <w:t xml:space="preserve">Article 7. Approving the </w:t>
      </w:r>
      <w:r w:rsidR="00EB271D">
        <w:rPr>
          <w:rFonts w:ascii="Arial" w:hAnsi="Arial" w:cs="Arial"/>
          <w:sz w:val="20"/>
          <w:szCs w:val="20"/>
        </w:rPr>
        <w:t>operation plan</w:t>
      </w:r>
      <w:r w:rsidRPr="00D50BB9">
        <w:rPr>
          <w:rFonts w:ascii="Arial" w:hAnsi="Arial" w:cs="Arial"/>
          <w:sz w:val="20"/>
          <w:szCs w:val="20"/>
        </w:rPr>
        <w:t xml:space="preserve"> for 2020: </w:t>
      </w:r>
    </w:p>
    <w:p w:rsidR="00EB271D" w:rsidRDefault="00D50BB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BB9">
        <w:rPr>
          <w:rFonts w:ascii="Arial" w:hAnsi="Arial" w:cs="Arial"/>
          <w:sz w:val="20"/>
          <w:szCs w:val="20"/>
        </w:rPr>
        <w:t>- Total consolid</w:t>
      </w:r>
      <w:r w:rsidR="00EB271D">
        <w:rPr>
          <w:rFonts w:ascii="Arial" w:hAnsi="Arial" w:cs="Arial"/>
          <w:sz w:val="20"/>
          <w:szCs w:val="20"/>
        </w:rPr>
        <w:t>ated revenue: VND 480 billion</w:t>
      </w:r>
    </w:p>
    <w:p w:rsidR="008958EC" w:rsidRDefault="00D50BB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BB9">
        <w:rPr>
          <w:rFonts w:ascii="Arial" w:hAnsi="Arial" w:cs="Arial"/>
          <w:sz w:val="20"/>
          <w:szCs w:val="20"/>
        </w:rPr>
        <w:t xml:space="preserve">- Consolidated profit before tax: </w:t>
      </w:r>
      <w:r w:rsidR="008958EC">
        <w:rPr>
          <w:rFonts w:ascii="Arial" w:hAnsi="Arial" w:cs="Arial"/>
          <w:sz w:val="20"/>
          <w:szCs w:val="20"/>
        </w:rPr>
        <w:t xml:space="preserve">VND </w:t>
      </w:r>
      <w:r w:rsidRPr="00D50BB9">
        <w:rPr>
          <w:rFonts w:ascii="Arial" w:hAnsi="Arial" w:cs="Arial"/>
          <w:sz w:val="20"/>
          <w:szCs w:val="20"/>
        </w:rPr>
        <w:t>128.4 bil</w:t>
      </w:r>
      <w:r w:rsidR="008958EC">
        <w:rPr>
          <w:rFonts w:ascii="Arial" w:hAnsi="Arial" w:cs="Arial"/>
          <w:sz w:val="20"/>
          <w:szCs w:val="20"/>
        </w:rPr>
        <w:t>lion</w:t>
      </w:r>
    </w:p>
    <w:p w:rsidR="008958EC" w:rsidRDefault="00D50BB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BB9">
        <w:rPr>
          <w:rFonts w:ascii="Arial" w:hAnsi="Arial" w:cs="Arial"/>
          <w:sz w:val="20"/>
          <w:szCs w:val="20"/>
        </w:rPr>
        <w:t xml:space="preserve">- Consolidated profit after tax: </w:t>
      </w:r>
      <w:r w:rsidR="008958EC">
        <w:rPr>
          <w:rFonts w:ascii="Arial" w:hAnsi="Arial" w:cs="Arial"/>
          <w:sz w:val="20"/>
          <w:szCs w:val="20"/>
        </w:rPr>
        <w:t xml:space="preserve">VND </w:t>
      </w:r>
      <w:r w:rsidRPr="00D50BB9">
        <w:rPr>
          <w:rFonts w:ascii="Arial" w:hAnsi="Arial" w:cs="Arial"/>
          <w:sz w:val="20"/>
          <w:szCs w:val="20"/>
        </w:rPr>
        <w:t>113.8 billion</w:t>
      </w:r>
    </w:p>
    <w:p w:rsidR="008958EC" w:rsidRDefault="008958E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Distributed profit: VND 78.1 billion</w:t>
      </w:r>
    </w:p>
    <w:p w:rsidR="008958EC" w:rsidRDefault="00D50BB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BB9">
        <w:rPr>
          <w:rFonts w:ascii="Arial" w:hAnsi="Arial" w:cs="Arial"/>
          <w:sz w:val="20"/>
          <w:szCs w:val="20"/>
        </w:rPr>
        <w:t xml:space="preserve">- Dividend </w:t>
      </w:r>
      <w:r w:rsidR="008958EC">
        <w:rPr>
          <w:rFonts w:ascii="Arial" w:hAnsi="Arial" w:cs="Arial"/>
          <w:sz w:val="20"/>
          <w:szCs w:val="20"/>
        </w:rPr>
        <w:t>payment rate: No dividend payment</w:t>
      </w:r>
    </w:p>
    <w:p w:rsidR="00F35A26" w:rsidRDefault="008958E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8. Approving the Plan on</w:t>
      </w:r>
      <w:r w:rsidR="00D50BB9" w:rsidRPr="00D50BB9">
        <w:rPr>
          <w:rFonts w:ascii="Arial" w:hAnsi="Arial" w:cs="Arial"/>
          <w:sz w:val="20"/>
          <w:szCs w:val="20"/>
        </w:rPr>
        <w:t xml:space="preserve"> profit distribution and </w:t>
      </w:r>
      <w:r>
        <w:rPr>
          <w:rFonts w:ascii="Arial" w:hAnsi="Arial" w:cs="Arial"/>
          <w:sz w:val="20"/>
          <w:szCs w:val="20"/>
        </w:rPr>
        <w:t>extraction to</w:t>
      </w:r>
      <w:r w:rsidR="00D50BB9" w:rsidRPr="00D50BB9">
        <w:rPr>
          <w:rFonts w:ascii="Arial" w:hAnsi="Arial" w:cs="Arial"/>
          <w:sz w:val="20"/>
          <w:szCs w:val="20"/>
        </w:rPr>
        <w:t xml:space="preserve"> funds in 2020 as follows:</w:t>
      </w:r>
    </w:p>
    <w:p w:rsidR="008958EC" w:rsidRDefault="008958E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billion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4318"/>
        <w:gridCol w:w="2393"/>
        <w:gridCol w:w="2393"/>
      </w:tblGrid>
      <w:tr w:rsidR="008958EC" w:rsidTr="006A3306">
        <w:tc>
          <w:tcPr>
            <w:tcW w:w="472" w:type="dxa"/>
          </w:tcPr>
          <w:p w:rsidR="008958EC" w:rsidRDefault="008958E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18" w:type="dxa"/>
          </w:tcPr>
          <w:p w:rsidR="008958EC" w:rsidRDefault="008958E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2393" w:type="dxa"/>
          </w:tcPr>
          <w:p w:rsidR="008958EC" w:rsidRDefault="001B791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rate</w:t>
            </w:r>
          </w:p>
        </w:tc>
        <w:tc>
          <w:tcPr>
            <w:tcW w:w="2393" w:type="dxa"/>
          </w:tcPr>
          <w:p w:rsidR="008958EC" w:rsidRDefault="001B791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8958EC" w:rsidTr="006A3306">
        <w:tc>
          <w:tcPr>
            <w:tcW w:w="472" w:type="dxa"/>
          </w:tcPr>
          <w:p w:rsidR="008958EC" w:rsidRDefault="008958E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</w:tcPr>
          <w:p w:rsidR="008958EC" w:rsidRDefault="001B791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distribution </w:t>
            </w:r>
          </w:p>
        </w:tc>
        <w:tc>
          <w:tcPr>
            <w:tcW w:w="2393" w:type="dxa"/>
          </w:tcPr>
          <w:p w:rsidR="008958EC" w:rsidRDefault="001B791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93" w:type="dxa"/>
          </w:tcPr>
          <w:p w:rsidR="008958EC" w:rsidRDefault="001B791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78.100</w:t>
            </w:r>
          </w:p>
        </w:tc>
      </w:tr>
      <w:tr w:rsidR="008958EC" w:rsidTr="006A3306">
        <w:tc>
          <w:tcPr>
            <w:tcW w:w="472" w:type="dxa"/>
          </w:tcPr>
          <w:p w:rsidR="008958EC" w:rsidRDefault="001B791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8" w:type="dxa"/>
          </w:tcPr>
          <w:p w:rsidR="008958EC" w:rsidRDefault="001B791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Welfare Reward Fund to employees</w:t>
            </w:r>
          </w:p>
        </w:tc>
        <w:tc>
          <w:tcPr>
            <w:tcW w:w="2393" w:type="dxa"/>
          </w:tcPr>
          <w:p w:rsidR="008958EC" w:rsidRDefault="001B791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2393" w:type="dxa"/>
          </w:tcPr>
          <w:p w:rsidR="008958EC" w:rsidRDefault="001B791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3.905</w:t>
            </w:r>
          </w:p>
        </w:tc>
      </w:tr>
      <w:tr w:rsidR="008958EC" w:rsidTr="006A3306">
        <w:tc>
          <w:tcPr>
            <w:tcW w:w="472" w:type="dxa"/>
          </w:tcPr>
          <w:p w:rsidR="008958EC" w:rsidRDefault="001B791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8" w:type="dxa"/>
          </w:tcPr>
          <w:p w:rsidR="008958EC" w:rsidRDefault="001B791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Welfare fund</w:t>
            </w:r>
          </w:p>
        </w:tc>
        <w:tc>
          <w:tcPr>
            <w:tcW w:w="2393" w:type="dxa"/>
          </w:tcPr>
          <w:p w:rsidR="008958EC" w:rsidRDefault="001B791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0.7%</w:t>
            </w:r>
          </w:p>
        </w:tc>
        <w:tc>
          <w:tcPr>
            <w:tcW w:w="2393" w:type="dxa"/>
          </w:tcPr>
          <w:p w:rsidR="008958EC" w:rsidRDefault="001B791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0.547</w:t>
            </w:r>
          </w:p>
        </w:tc>
      </w:tr>
      <w:tr w:rsidR="008958EC" w:rsidTr="006A3306">
        <w:tc>
          <w:tcPr>
            <w:tcW w:w="472" w:type="dxa"/>
          </w:tcPr>
          <w:p w:rsidR="008958EC" w:rsidRDefault="001B791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8" w:type="dxa"/>
          </w:tcPr>
          <w:p w:rsidR="008958EC" w:rsidRDefault="001B7910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Operation fund </w:t>
            </w:r>
            <w:r w:rsidR="00A60356">
              <w:rPr>
                <w:rFonts w:ascii="Arial" w:hAnsi="Arial" w:cs="Arial"/>
                <w:sz w:val="20"/>
                <w:szCs w:val="20"/>
              </w:rPr>
              <w:t>for the Board of Directors and Supervisory Board (1.25% of profit after tax)</w:t>
            </w:r>
          </w:p>
        </w:tc>
        <w:tc>
          <w:tcPr>
            <w:tcW w:w="2393" w:type="dxa"/>
          </w:tcPr>
          <w:p w:rsidR="008958EC" w:rsidRDefault="00A6035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1.82%</w:t>
            </w:r>
          </w:p>
        </w:tc>
        <w:tc>
          <w:tcPr>
            <w:tcW w:w="2393" w:type="dxa"/>
          </w:tcPr>
          <w:p w:rsidR="008958EC" w:rsidRDefault="00A6035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1.423</w:t>
            </w:r>
          </w:p>
        </w:tc>
      </w:tr>
      <w:tr w:rsidR="006A3306" w:rsidTr="006A3306">
        <w:tc>
          <w:tcPr>
            <w:tcW w:w="472" w:type="dxa"/>
          </w:tcPr>
          <w:p w:rsidR="006A3306" w:rsidRDefault="006A33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8" w:type="dxa"/>
          </w:tcPr>
          <w:p w:rsidR="006A3306" w:rsidRDefault="006A33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Reward for exceeding the plan (15% of profit exceeding the plan but not over 200% of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bonus exceeding the plan of the previous year)</w:t>
            </w:r>
          </w:p>
        </w:tc>
        <w:tc>
          <w:tcPr>
            <w:tcW w:w="4786" w:type="dxa"/>
            <w:gridSpan w:val="2"/>
          </w:tcPr>
          <w:p w:rsidR="006A3306" w:rsidRDefault="006A3306" w:rsidP="006A33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According to the actual figure</w:t>
            </w:r>
          </w:p>
        </w:tc>
      </w:tr>
      <w:tr w:rsidR="006A3306" w:rsidTr="00AC4F20">
        <w:tc>
          <w:tcPr>
            <w:tcW w:w="472" w:type="dxa"/>
          </w:tcPr>
          <w:p w:rsidR="006A3306" w:rsidRDefault="006A33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318" w:type="dxa"/>
          </w:tcPr>
          <w:p w:rsidR="006A3306" w:rsidRDefault="006A33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Dividend payment </w:t>
            </w:r>
          </w:p>
        </w:tc>
        <w:tc>
          <w:tcPr>
            <w:tcW w:w="4786" w:type="dxa"/>
            <w:gridSpan w:val="2"/>
          </w:tcPr>
          <w:p w:rsidR="006A3306" w:rsidRDefault="006A33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dividend payment </w:t>
            </w:r>
          </w:p>
        </w:tc>
      </w:tr>
      <w:tr w:rsidR="008958EC" w:rsidTr="006A3306">
        <w:tc>
          <w:tcPr>
            <w:tcW w:w="472" w:type="dxa"/>
          </w:tcPr>
          <w:p w:rsidR="008958EC" w:rsidRDefault="006A33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8" w:type="dxa"/>
          </w:tcPr>
          <w:p w:rsidR="008958EC" w:rsidRDefault="00FD07F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 profit for supplementing the operation capital</w:t>
            </w:r>
          </w:p>
        </w:tc>
        <w:tc>
          <w:tcPr>
            <w:tcW w:w="2393" w:type="dxa"/>
          </w:tcPr>
          <w:p w:rsidR="008958EC" w:rsidRDefault="00FD07F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92.48%</w:t>
            </w:r>
          </w:p>
        </w:tc>
        <w:tc>
          <w:tcPr>
            <w:tcW w:w="2393" w:type="dxa"/>
          </w:tcPr>
          <w:p w:rsidR="008958EC" w:rsidRDefault="00FD07F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72.225</w:t>
            </w:r>
          </w:p>
        </w:tc>
      </w:tr>
    </w:tbl>
    <w:p w:rsidR="008958EC" w:rsidRDefault="008958E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07F1" w:rsidRDefault="00FD07F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9: Approve the Statement on amending and supplementing some articles in the Charter of the Company, internal governance regulation of the Company</w:t>
      </w:r>
    </w:p>
    <w:p w:rsidR="00FD07F1" w:rsidRDefault="00FD07F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A77FD">
        <w:rPr>
          <w:rFonts w:ascii="Arial" w:hAnsi="Arial" w:cs="Arial"/>
          <w:sz w:val="20"/>
          <w:szCs w:val="20"/>
        </w:rPr>
        <w:t>Amendments and supplements to the Charter of the Company</w:t>
      </w:r>
    </w:p>
    <w:p w:rsidR="007A77FD" w:rsidRDefault="007A77F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 Amending Clause 3, Article 4 of Charter of the Company</w:t>
      </w:r>
      <w:bookmarkStart w:id="0" w:name="_GoBack"/>
      <w:bookmarkEnd w:id="0"/>
    </w:p>
    <w:p w:rsidR="007A77FD" w:rsidRDefault="007A77F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 Amending other articles</w:t>
      </w:r>
    </w:p>
    <w:p w:rsidR="007A77FD" w:rsidRDefault="00300D6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Amending Article 29: Form of conducting a meeting and voting at the annual General Meeting of Shareholders </w:t>
      </w:r>
    </w:p>
    <w:p w:rsidR="00257C82" w:rsidRDefault="00257C8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Amending Article 31: Authority and form of consulting shareholders via a ballot </w:t>
      </w:r>
      <w:r w:rsidR="009F6A52">
        <w:rPr>
          <w:rFonts w:ascii="Arial" w:hAnsi="Arial" w:cs="Arial"/>
          <w:sz w:val="20"/>
          <w:szCs w:val="20"/>
        </w:rPr>
        <w:t xml:space="preserve">for approval of the General Mandate </w:t>
      </w:r>
    </w:p>
    <w:p w:rsidR="009F6A52" w:rsidRDefault="009F6A5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Amendments and supplements to the internal governance regulation of the Company</w:t>
      </w:r>
    </w:p>
    <w:p w:rsidR="009F6A52" w:rsidRDefault="009F6A5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Amending Article 9: Form of voting, counting votes</w:t>
      </w:r>
      <w:r w:rsidR="009624DC">
        <w:rPr>
          <w:rFonts w:ascii="Arial" w:hAnsi="Arial" w:cs="Arial"/>
          <w:sz w:val="20"/>
          <w:szCs w:val="20"/>
        </w:rPr>
        <w:t xml:space="preserve"> and notice of vote counting result at the General Meeting of Shareholders </w:t>
      </w:r>
    </w:p>
    <w:p w:rsidR="009624DC" w:rsidRDefault="009624D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Assign the General Director of the Company to take responsibility for implementing the procedures for </w:t>
      </w:r>
      <w:r w:rsidR="00D61254">
        <w:rPr>
          <w:rFonts w:ascii="Arial" w:hAnsi="Arial" w:cs="Arial"/>
          <w:sz w:val="20"/>
          <w:szCs w:val="20"/>
        </w:rPr>
        <w:t>amending and supplementing in accordance with the law</w:t>
      </w:r>
    </w:p>
    <w:p w:rsidR="00D61254" w:rsidRDefault="00D6125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10: Enforcement</w:t>
      </w:r>
    </w:p>
    <w:p w:rsidR="00D61254" w:rsidRDefault="00D6125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The annual General Mandate of </w:t>
      </w:r>
      <w:r w:rsidRPr="00D61254">
        <w:rPr>
          <w:rFonts w:ascii="Arial" w:hAnsi="Arial" w:cs="Arial"/>
          <w:sz w:val="20"/>
          <w:szCs w:val="20"/>
        </w:rPr>
        <w:t>Cho Lon Investment and Import Export Corporation</w:t>
      </w:r>
      <w:r>
        <w:rPr>
          <w:rFonts w:ascii="Arial" w:hAnsi="Arial" w:cs="Arial"/>
          <w:sz w:val="20"/>
          <w:szCs w:val="20"/>
        </w:rPr>
        <w:t xml:space="preserve"> was approved and took effect from the signing date </w:t>
      </w:r>
    </w:p>
    <w:p w:rsidR="00D61254" w:rsidRDefault="00D6125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The Board of Directors, Management Board of </w:t>
      </w:r>
      <w:r w:rsidRPr="00D61254">
        <w:rPr>
          <w:rFonts w:ascii="Arial" w:hAnsi="Arial" w:cs="Arial"/>
          <w:sz w:val="20"/>
          <w:szCs w:val="20"/>
        </w:rPr>
        <w:t>Cho Lon Investment and Import Export Corporation</w:t>
      </w:r>
      <w:r>
        <w:rPr>
          <w:rFonts w:ascii="Arial" w:hAnsi="Arial" w:cs="Arial"/>
          <w:sz w:val="20"/>
          <w:szCs w:val="20"/>
        </w:rPr>
        <w:t xml:space="preserve"> are responsible for implementing the annual General Mandate </w:t>
      </w:r>
    </w:p>
    <w:sectPr w:rsidR="00D61254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3530"/>
    <w:rsid w:val="00022849"/>
    <w:rsid w:val="000230C2"/>
    <w:rsid w:val="00025C89"/>
    <w:rsid w:val="000266C2"/>
    <w:rsid w:val="000365C1"/>
    <w:rsid w:val="00041D21"/>
    <w:rsid w:val="00050E3D"/>
    <w:rsid w:val="000603A9"/>
    <w:rsid w:val="00064D79"/>
    <w:rsid w:val="00066EE1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23CB6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7910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20448"/>
    <w:rsid w:val="00230BF1"/>
    <w:rsid w:val="002319EE"/>
    <w:rsid w:val="002357C4"/>
    <w:rsid w:val="002403FE"/>
    <w:rsid w:val="0025148F"/>
    <w:rsid w:val="00252CE0"/>
    <w:rsid w:val="00254EA2"/>
    <w:rsid w:val="00257C8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76E5"/>
    <w:rsid w:val="002E7FD0"/>
    <w:rsid w:val="002F68A9"/>
    <w:rsid w:val="00300D6D"/>
    <w:rsid w:val="00303167"/>
    <w:rsid w:val="00304722"/>
    <w:rsid w:val="0030503E"/>
    <w:rsid w:val="0031274D"/>
    <w:rsid w:val="00316F05"/>
    <w:rsid w:val="00320096"/>
    <w:rsid w:val="00320E98"/>
    <w:rsid w:val="0032185B"/>
    <w:rsid w:val="00323657"/>
    <w:rsid w:val="00327CF7"/>
    <w:rsid w:val="0033774A"/>
    <w:rsid w:val="00341204"/>
    <w:rsid w:val="00353428"/>
    <w:rsid w:val="00354158"/>
    <w:rsid w:val="00355050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86748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6616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219D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83005"/>
    <w:rsid w:val="006938BF"/>
    <w:rsid w:val="006948E2"/>
    <w:rsid w:val="00694B5D"/>
    <w:rsid w:val="00695ACD"/>
    <w:rsid w:val="006A3306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A77FD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958EC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04A89"/>
    <w:rsid w:val="00911890"/>
    <w:rsid w:val="00912FBD"/>
    <w:rsid w:val="009232CB"/>
    <w:rsid w:val="00923467"/>
    <w:rsid w:val="009235C2"/>
    <w:rsid w:val="00926469"/>
    <w:rsid w:val="00934FC0"/>
    <w:rsid w:val="00937D79"/>
    <w:rsid w:val="009410B8"/>
    <w:rsid w:val="009464B8"/>
    <w:rsid w:val="009624DC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E16BD"/>
    <w:rsid w:val="009E1744"/>
    <w:rsid w:val="009E4AC5"/>
    <w:rsid w:val="009F2709"/>
    <w:rsid w:val="009F4DC4"/>
    <w:rsid w:val="009F6A52"/>
    <w:rsid w:val="00A050AA"/>
    <w:rsid w:val="00A06443"/>
    <w:rsid w:val="00A06521"/>
    <w:rsid w:val="00A128FC"/>
    <w:rsid w:val="00A23E8D"/>
    <w:rsid w:val="00A34999"/>
    <w:rsid w:val="00A4710B"/>
    <w:rsid w:val="00A47614"/>
    <w:rsid w:val="00A60356"/>
    <w:rsid w:val="00A61FAF"/>
    <w:rsid w:val="00A63B6C"/>
    <w:rsid w:val="00A734D4"/>
    <w:rsid w:val="00A754EB"/>
    <w:rsid w:val="00A87ED0"/>
    <w:rsid w:val="00A92963"/>
    <w:rsid w:val="00AA03FA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A41E5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96B"/>
    <w:rsid w:val="00CE3EC6"/>
    <w:rsid w:val="00CE40C1"/>
    <w:rsid w:val="00CF1764"/>
    <w:rsid w:val="00CF7CE6"/>
    <w:rsid w:val="00D02E12"/>
    <w:rsid w:val="00D07AEF"/>
    <w:rsid w:val="00D10888"/>
    <w:rsid w:val="00D306EC"/>
    <w:rsid w:val="00D322FB"/>
    <w:rsid w:val="00D370AF"/>
    <w:rsid w:val="00D415AC"/>
    <w:rsid w:val="00D42678"/>
    <w:rsid w:val="00D47CCA"/>
    <w:rsid w:val="00D50BB9"/>
    <w:rsid w:val="00D52C26"/>
    <w:rsid w:val="00D53360"/>
    <w:rsid w:val="00D55D74"/>
    <w:rsid w:val="00D570D1"/>
    <w:rsid w:val="00D61254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87303"/>
    <w:rsid w:val="00E94849"/>
    <w:rsid w:val="00E96289"/>
    <w:rsid w:val="00E96D65"/>
    <w:rsid w:val="00EA2CDA"/>
    <w:rsid w:val="00EA4C28"/>
    <w:rsid w:val="00EA5F3A"/>
    <w:rsid w:val="00EA611A"/>
    <w:rsid w:val="00EA6EE7"/>
    <w:rsid w:val="00EB271D"/>
    <w:rsid w:val="00EC37DE"/>
    <w:rsid w:val="00ED3B40"/>
    <w:rsid w:val="00ED6D41"/>
    <w:rsid w:val="00ED7216"/>
    <w:rsid w:val="00EF091F"/>
    <w:rsid w:val="00EF47D6"/>
    <w:rsid w:val="00EF4B61"/>
    <w:rsid w:val="00F00D19"/>
    <w:rsid w:val="00F11789"/>
    <w:rsid w:val="00F272CE"/>
    <w:rsid w:val="00F320D6"/>
    <w:rsid w:val="00F33967"/>
    <w:rsid w:val="00F35A26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07F1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325</cp:revision>
  <dcterms:created xsi:type="dcterms:W3CDTF">2019-10-16T10:03:00Z</dcterms:created>
  <dcterms:modified xsi:type="dcterms:W3CDTF">2020-06-10T03:36:00Z</dcterms:modified>
</cp:coreProperties>
</file>